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D21B" w14:textId="77777777" w:rsidR="00E04DBD" w:rsidRPr="00E04DBD" w:rsidRDefault="00E04DBD" w:rsidP="00E04DBD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kern w:val="36"/>
          <w:sz w:val="48"/>
          <w:szCs w:val="48"/>
          <w:lang w:eastAsia="hu-HU"/>
        </w:rPr>
      </w:pPr>
      <w:r w:rsidRPr="00E04DBD">
        <w:rPr>
          <w:rFonts w:ascii="Playfair Display" w:eastAsia="Times New Roman" w:hAnsi="Playfair Display" w:cs="Times New Roman"/>
          <w:kern w:val="36"/>
          <w:sz w:val="48"/>
          <w:szCs w:val="48"/>
          <w:lang w:eastAsia="hu-HU"/>
        </w:rPr>
        <w:t>Bár Község Önkormányzata Képviselő-testületének 8/2021. (XI. 3.) önkormányzati rendelete</w:t>
      </w:r>
    </w:p>
    <w:p w14:paraId="157F5663" w14:textId="77777777" w:rsidR="00E04DBD" w:rsidRPr="00E04DBD" w:rsidRDefault="00E04DBD" w:rsidP="00E04DBD">
      <w:pPr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</w:pPr>
      <w:r w:rsidRPr="00E04DBD"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  <w:t>a településkép védelméről.</w:t>
      </w:r>
    </w:p>
    <w:p w14:paraId="5121E21D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4DBD">
        <w:rPr>
          <w:rFonts w:ascii="Times New Roman" w:eastAsia="Times New Roman" w:hAnsi="Times New Roman" w:cs="Times New Roman"/>
          <w:sz w:val="24"/>
          <w:szCs w:val="24"/>
          <w:lang w:eastAsia="hu-HU"/>
        </w:rPr>
        <w:t> Hatályos: 2021. 12. 01</w:t>
      </w:r>
    </w:p>
    <w:p w14:paraId="1BEC5DAF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Bár község Önkormányzatának Képviselő-testülete a településkép védelméről szóló </w:t>
      </w:r>
      <w:hyperlink r:id="rId4" w:anchor="SZ12@BE2" w:tgtFrame="_blank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2016. évi LXXIV. törvény 12. § (2)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a) – h) pontjai kapott felhatalmazás alapján, Magyarország </w:t>
      </w:r>
      <w:hyperlink r:id="rId5" w:anchor="CA32@BE1@POA" w:tgtFrame="_blank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Alaptörvénye 32. cikk (1) bekezdése a) pont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jában meghatározott feladatkörében eljárva, a településfejlesztési koncepcióról, az integrált településfejlesztési stratégiáról és a településrendezési eszközökről, valamint egyes településrendezési sajátos jogintézményekről szóló </w:t>
      </w:r>
      <w:hyperlink r:id="rId6" w:anchor="SZ43A@BE6@POC" w:tgtFrame="_blank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314/2012. (XI. 8.) Korm. rendelet 43/A. § (6) bekezdés c) pont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jában biztosított véleményezési jogkörében eljáró az állami főépítészi hatáskörében eljáró Baranya Megyei Kormányhivatal, a Nemzeti Média- és Hírközlési Hatóság, a Miniszterelnökség Kulturális Örökségvédelemért Felelős Helyettes Államtitkársága és a Duna-Dráva Nemzeti Park Igazgatósága véleményének kikérésével, a partnerségi egyeztetés során beérkezett vélemények figyelembe vételével a következőket rendeli el:</w:t>
      </w:r>
    </w:p>
    <w:p w14:paraId="55D2D2AC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I. Fejezet</w:t>
      </w:r>
    </w:p>
    <w:p w14:paraId="13E8F0FF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BEVEZETŐ RENDELKEZÉSEK</w:t>
      </w:r>
    </w:p>
    <w:p w14:paraId="6A721850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 A rendelet célja, hatálya és értelmező rendelkezések</w:t>
      </w:r>
    </w:p>
    <w:p w14:paraId="361B9F5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1. §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rendelet célja Bár község sajátos településképének társadalmi bevonás és konszenzus által történő védelme és alakítása:</w:t>
      </w:r>
    </w:p>
    <w:p w14:paraId="5CBB894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a helyi építészeti örökség egyedi védelem (a továbbiakban: helyi védelem) meghatározásával, a védetté nyilvánítás, a védelem megszüntetés szabályozásával.</w:t>
      </w:r>
    </w:p>
    <w:p w14:paraId="218DE14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településképi szempontból meghatározó területek meghatározásával</w:t>
      </w:r>
    </w:p>
    <w:p w14:paraId="5B091A8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településképi követelmények meghatározásával</w:t>
      </w:r>
    </w:p>
    <w:p w14:paraId="074B281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településkép-érvényesítési eszközök szabályozásával</w:t>
      </w:r>
    </w:p>
    <w:p w14:paraId="694E215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településképi önkormányzati támogatási és ösztönző rendszer alkalmazásával.</w:t>
      </w:r>
    </w:p>
    <w:p w14:paraId="75630EA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rendelet területi hatálya a település teljes közigazgatási területe.</w:t>
      </w:r>
    </w:p>
    <w:p w14:paraId="74351D8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helyi védelem célja, a település településképe és történelme szempontjából meghatározó építészeti örökség kiemelkedő értékű elemeinek védelme, a jellegzetes karakterének a jövő nemzedékek számára történő megóvása.</w:t>
      </w:r>
    </w:p>
    <w:p w14:paraId="34BA218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 helyi védelem alatt álló építészeti örökség a nemzeti közös kulturális kincs része, ezért fenntartása, védelmével összhangban lévő használata és bemutatása közérdek.</w:t>
      </w:r>
    </w:p>
    <w:p w14:paraId="63A40F8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Tilos a helyi védett építészeti örökség elemeinek veszélyeztetése, megrongálása, megsemmisítése.</w:t>
      </w:r>
    </w:p>
    <w:p w14:paraId="27F49AB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(6) A településképi szempontból meghatározó területek megállapításának célja egyrészt, hogy a település karakterét meghatározó építmények, jellemző lakóházak, illetve egyéb funkciójú épületek díszes homlokzatai fennmaradjanak. 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Továbbá célja, hogy a természeti, táji környezetben történő művi beavatkozások illeszkedjenek a környezetbe, annak látványát, értékeit erősítsék.</w:t>
      </w:r>
    </w:p>
    <w:p w14:paraId="6DDF3A4F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(7) A rendelet alkalmazásában használt fogalmak jegyzéke és magyarázata:</w:t>
      </w:r>
    </w:p>
    <w:p w14:paraId="27CCE9E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főépület: elsősorban a területfelhasználási egység jellegének megfelelő, másodsorban a településrendezési eszközben meghatározott, a területhasználatot nem zavaró rendeltetésű épület</w:t>
      </w:r>
    </w:p>
    <w:p w14:paraId="7B3515E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áttört jellegű kerítés: melynél a tömör felületek aránya a kerítés teljes felületének 50%-át nem haladja meg, és az egybefüggő tömör felületek külön-külön nem érik el a kerítés teljes hosszának 10%-át, valamint a kerítés lábazatának magassága nem haladja meg az 50 cm-t.</w:t>
      </w:r>
    </w:p>
    <w:p w14:paraId="3E9655D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tömör jelleg: melynél a tömör felületek aránya a kerítés teljes felületének 50%-át meghaladja.</w:t>
      </w:r>
    </w:p>
    <w:p w14:paraId="286752E6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II. Fejezet</w:t>
      </w:r>
    </w:p>
    <w:p w14:paraId="1EE413D4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A HELYI VÉDELEM</w:t>
      </w:r>
    </w:p>
    <w:p w14:paraId="2ED9706D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 A helyi védelem feladata, általános szabályai, önkormányzati kötelezettségek</w:t>
      </w:r>
    </w:p>
    <w:p w14:paraId="66BAD93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helyi védelem feladata, hogy a védelmet igénylő építészeti örökségek meghatározása, dokumentálása, védetté nyilvánítása, nyilvántartása, megőrzése, megőriztetése és a lakossággal történő megismertetése megtörténjen.</w:t>
      </w:r>
    </w:p>
    <w:p w14:paraId="292C081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Feladata továbbá a helyi védelem alatt álló építészeti örökség károsodásának megelőzése, illetve a károsodás csökkentésének vagy megszüntetésének elősegítése.</w:t>
      </w:r>
    </w:p>
    <w:p w14:paraId="193F56E4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3. A helyi védelem alá helyezés és a védelem megszűnésének szabályai</w:t>
      </w:r>
    </w:p>
    <w:p w14:paraId="2DF517F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helyi védelem alá helyezést, illetve annak megszüntetését bárki - természetes, vagy jogi személy - írásban kezdeményezheti, valamint erre az örökségvédelmi hatástanulmány értékleltára, a településrendezési eszköz megalapozó vizsgálatának az épített környezet, illetve a táji és természeti környezet értékeire vonatkozó vizsgálata is javaslatot tehet.</w:t>
      </w:r>
    </w:p>
    <w:p w14:paraId="2EA4F58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helyi védelem alá helyezés iránti kérelemnek tartalmaznia kell:</w:t>
      </w:r>
    </w:p>
    <w:p w14:paraId="096B5E7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1. a védendő épület, épületrész pontos helyét (utca, házszám, helyrajzi szám),</w:t>
      </w:r>
    </w:p>
    <w:p w14:paraId="77138D5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2. a védendő épületre, épületrészre vonatkozó szakszerű, rövid indokolást,</w:t>
      </w:r>
    </w:p>
    <w:p w14:paraId="442300F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3. fotódokumentációt,</w:t>
      </w:r>
    </w:p>
    <w:p w14:paraId="0DE948B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4. helyszínrajzot,</w:t>
      </w:r>
    </w:p>
    <w:p w14:paraId="499782C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5. a védendő épület, épületrész rendeltetését és használatának módját.</w:t>
      </w:r>
    </w:p>
    <w:p w14:paraId="5480CE2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helyi védelem megszüntetése iránti kérelemnek tartalmaznia kell:</w:t>
      </w:r>
    </w:p>
    <w:p w14:paraId="6C71A16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a védett épület, épületrész pontos helyét (utca, házszám, helyrajzi szám),</w:t>
      </w:r>
    </w:p>
    <w:p w14:paraId="5E49FA8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a védettség megszüntetésének rövid, szakszerű indokolását, fotódokumentációját.</w:t>
      </w:r>
    </w:p>
    <w:p w14:paraId="571E097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(4) A helyi védelem alá helyezéssel vagy annak megszüntetésével kapcsolatos döntés előkészítéséről a települési főépítész, illetve annak hiányában a polgármester gondoskodik.</w:t>
      </w:r>
    </w:p>
    <w:p w14:paraId="365D884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A helyi védelem alá helyezést, illetve annak megszüntetését a képviselő-testület e rendeletben állapítja meg.</w:t>
      </w:r>
    </w:p>
    <w:p w14:paraId="3D40C25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(6) Helyi védelem alatt álló építmény nem bontható el.</w:t>
      </w:r>
    </w:p>
    <w:p w14:paraId="786B405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helyi védelem alá helyezés, illetve megszüntetés szakmai előkészítője a települési főépítész, annak hiányában a polgármester. Feladata a kérelmek befogadása, a kérelem tárgyával kapcsolatos szakmai véleményének írásban történő meghozatala, és a kérelem, valamint a szakmai véleményének előterjesztése a képviselő-testületi ülésen.</w:t>
      </w:r>
    </w:p>
    <w:p w14:paraId="45903C2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helyi védelem alá helyezésben, illetve a megszüntetésében érdekeltek: a kérelmező, az érintett ingatlan tulajdonosa, haszonélvezője. Az érdekelteket írásban kell értesíteni a képviselő-testületi döntésről.</w:t>
      </w:r>
    </w:p>
    <w:p w14:paraId="4961337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helyi védelem alá helyezés, illetve a megszüntetés tényéről a lakosságot is tájékoztatni kell a település honlapján, a közterületen elhelyezett hirdető felületen és helyi lapban.</w:t>
      </w:r>
    </w:p>
    <w:p w14:paraId="3100EB2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Helyi védelem alatt álló ingatlan országos műemléki védelem alá kerül, úgy a védettség tényét megállapító jogszabály hatályba lépését követően a települési főépítész, annak hiányában a polgármester kezdeményezi a helyi védelem törlését.</w:t>
      </w:r>
    </w:p>
    <w:p w14:paraId="0B4AC9A2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A települési főépítész, annak hiányában a polgármester gondoskodik a helyi építészeti örökség nyilvántartásának vezetéséről. A nyilvántartás legalább az alábbi adatokat kell tartalmazza:</w:t>
      </w:r>
    </w:p>
    <w:p w14:paraId="4F260CB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a) a védendő épület, épületrész pontos helyét (utca, házszám, helyrajzi szám),</w:t>
      </w:r>
    </w:p>
    <w:p w14:paraId="01C3940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a védendő épületre, épületrészre vonatkozó szakszerű, rövid indokolást,</w:t>
      </w:r>
    </w:p>
    <w:p w14:paraId="4713144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fotódokumentációt,</w:t>
      </w:r>
    </w:p>
    <w:p w14:paraId="41FCEC8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helyszínrajzot,</w:t>
      </w:r>
    </w:p>
    <w:p w14:paraId="1F0B3C55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a védendő épület, épületrész rendeltetését és használatának módját</w:t>
      </w:r>
    </w:p>
    <w:p w14:paraId="0D164653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 A területi védelem meghatározása</w:t>
      </w:r>
    </w:p>
    <w:p w14:paraId="2A948F8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Bár község területén nincs helyi területi védelem alá tartozó ingatlan.</w:t>
      </w:r>
    </w:p>
    <w:p w14:paraId="205322C9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 Az egyedi védelem meghatározása</w:t>
      </w:r>
    </w:p>
    <w:p w14:paraId="306A2C5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 helyi egyedi védelem alá tartozó ingatlanok pontos címét, helyrajzi számát, a védett építmény rendeltetését meghatározó jegyzéket jelen rendelet </w:t>
      </w:r>
      <w:hyperlink r:id="rId7" w:anchor="ME1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tartalmazza.</w:t>
      </w:r>
    </w:p>
    <w:p w14:paraId="74341610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 Az egyedi védelemhez kapcsolódó tulajdonosi kötelezettségek</w:t>
      </w:r>
    </w:p>
    <w:p w14:paraId="0D3F6BD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védett értékek jó karbantartása, állapotuk megóvása a tulajdonos kötelessége.</w:t>
      </w:r>
    </w:p>
    <w:p w14:paraId="5517B1C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védett értékek megfelelő fenntartását és megőrzését – egyebek között – a rendeltetésnek megfelelő használattal kell biztosítani.</w:t>
      </w:r>
    </w:p>
    <w:p w14:paraId="090AEC85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III. Fejezet</w:t>
      </w:r>
    </w:p>
    <w:p w14:paraId="03204EA9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A TELEPÜLÉSKÉPI SZEMPONTBÓL MEGHATÁROZÓ TERÜLETEK</w:t>
      </w:r>
    </w:p>
    <w:p w14:paraId="0976608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8. §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Településképi szempontból meghatározó területek:</w:t>
      </w:r>
    </w:p>
    <w:p w14:paraId="1D62825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falu központi része;</w:t>
      </w:r>
    </w:p>
    <w:p w14:paraId="672F769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a régészeti lelőhely területe;</w:t>
      </w:r>
    </w:p>
    <w:p w14:paraId="22E5BA3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a helyi védettségű egyedi érték területe;</w:t>
      </w:r>
    </w:p>
    <w:p w14:paraId="62259E0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országos ökológiai hálózat ökológiai folyosó területe;</w:t>
      </w:r>
    </w:p>
    <w:p w14:paraId="582D634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Natura2000 terület;</w:t>
      </w:r>
    </w:p>
    <w:p w14:paraId="6045FBE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f) nemzeti park területe.</w:t>
      </w:r>
    </w:p>
    <w:p w14:paraId="77DE6CD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településképi szempontból meghatározó területek térképi lehatárolását a </w:t>
      </w:r>
      <w:hyperlink r:id="rId8" w:anchor="ME2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2.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a. - c. pontja tartalmazza.</w:t>
      </w:r>
    </w:p>
    <w:p w14:paraId="2B035C3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településkép védelme szempontjából kiemelt területek térképi lehatárolását a </w:t>
      </w:r>
      <w:hyperlink r:id="rId9" w:anchor="ME2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2.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d. pontja tartalmazza.</w:t>
      </w:r>
    </w:p>
    <w:p w14:paraId="3AF55C42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IV. Fejezet</w:t>
      </w:r>
    </w:p>
    <w:p w14:paraId="71E1253E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A TELEPÜLÉSKÉPI KÖVETELMÉNYEK</w:t>
      </w:r>
    </w:p>
    <w:p w14:paraId="655EB07C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 Építmények anyaghasználatára vonatkozó általános építészeti követelmények a teljes közigazgatási területre</w:t>
      </w:r>
    </w:p>
    <w:p w14:paraId="7CA573B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9. §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Az építményeken az adott környezettel nem harmonizáló homlokzati és tetőfedési anyagok, színezés nem alkalmazható.</w:t>
      </w:r>
    </w:p>
    <w:p w14:paraId="7255182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Lakóterület és településközpont övezetekben nem alkalmazható:</w:t>
      </w:r>
    </w:p>
    <w:p w14:paraId="458DA1B5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főépületként gerenda- és konténerház,</w:t>
      </w:r>
    </w:p>
    <w:p w14:paraId="6581867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hullámpala, műanyag hullámlemez, hagyományostól eltérő színű (pl. kék, zöld) tetőfedés</w:t>
      </w:r>
    </w:p>
    <w:p w14:paraId="3510DB7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c) a homlokzaton hullámlemez burkolat,</w:t>
      </w:r>
    </w:p>
    <w:p w14:paraId="62C0930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díszítő elemként csempe vagy hasított kőburkolat az ablakok körül,</w:t>
      </w:r>
    </w:p>
    <w:p w14:paraId="10D5B78F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korábbi építészeti stílus, más éghajlati tájra jellemző, funkció nélküli díszítőelem (pl. kő kinézetű párkány, előtető, erkély, konzol…)</w:t>
      </w:r>
    </w:p>
    <w:p w14:paraId="71EFA30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f) utcai homlokzaton erkély, loggia.</w:t>
      </w:r>
    </w:p>
    <w:p w14:paraId="114DC7E4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8. A településképi szempontból meghatározó területekre vonatkozó területi és egyedi építészeti követelmények</w:t>
      </w:r>
    </w:p>
    <w:p w14:paraId="6FFA3DF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10. §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 </w:t>
      </w:r>
      <w:hyperlink r:id="rId10" w:anchor="SZ8.@BE(1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8. § (1)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a. pontjában meghatározott faluközpont területére, mint településképi szempontból meghatározó területre vonatkozó területi építészeti követelmények az alábbiak:</w:t>
      </w:r>
    </w:p>
    <w:p w14:paraId="6E28C35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a) Az elbontott építmények telkeit megfelelő tereprendezéssel, elkerítéssel kell a település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arculatához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illeszkedő módon kialakítani, fenntartani.</w:t>
      </w:r>
    </w:p>
    <w:p w14:paraId="2CD9BB1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Épületet úgy kell elhelyezni, hogy az a beépítés módjában, mértékében, rendeltetésében, a használat módjában, és a terepalakítás, a csapadékvíz-elvezetés és a növénytelepítés vonatkozásában környezete adottságaihoz illeszkedjen.</w:t>
      </w:r>
    </w:p>
    <w:p w14:paraId="37EB31E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Az épületszélesség megválasztásával meg kell előzni azt, hogy magas tetős épületek esetén az épületet önmagában tekintve és az utcakép vonatkozásában is aránytalanul magas, nagy tetőidomok jöjjenek létre.</w:t>
      </w:r>
    </w:p>
    <w:p w14:paraId="54E64EDF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Az utcai kerítést az épület építészeti karakteréhez, anyaghasználatához, megjelenéséhez, településképi sajátosságaihoz illeszkedően lehet kialakítani.</w:t>
      </w:r>
    </w:p>
    <w:p w14:paraId="226CA6B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e) A kerítések megengedett magassága legfeljebb 1,8 méter. A környezethez igazodóan, kialakult utcaképet figyelembevéve választandó a tömör vagy az áttört jelleg.</w:t>
      </w:r>
    </w:p>
    <w:p w14:paraId="3D439A6F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f) A település közigazgatási területén állandó használatra szánt lakókocsi, konténer és egyéb bódé jellegű építmény nem helyezhető el.</w:t>
      </w:r>
    </w:p>
    <w:p w14:paraId="65886EC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településképi szempontból meghatározó területekre vonatkozó egyedi építészeti követelmények az alábbiak:</w:t>
      </w:r>
    </w:p>
    <w:p w14:paraId="3E0E11E5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Az ingatlan fő funkcióját képviselő épületet jellemzően 35°- 45° hajlású magastetővel kell kialakítani;</w:t>
      </w:r>
    </w:p>
    <w:p w14:paraId="3CD15CF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Az ingatlan fő funkcióját betöltő épület tetőidomát a szomszédos telken álló, utcaképileg egy látványt adó épületekkel összhangban kell kialakítani;</w:t>
      </w:r>
    </w:p>
    <w:p w14:paraId="46E8B40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Az épületek közterületről látható homlokzatainak és tűzfalainak egy homlokzaton belüli részleges felújítása vagy átfestése nem megengedett;</w:t>
      </w:r>
    </w:p>
    <w:p w14:paraId="684FDFF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Meglévő épület homlokzatán nem építhető be a homlokzatra jellemzőtől eltérő színű, valamint eltérő osztású nyílászáró;</w:t>
      </w:r>
    </w:p>
    <w:p w14:paraId="5B4EE12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Az épületgépészeti és egyéb berendezéseket, tartozékaikat, klímaberendezést építészeti eszközökkel takartan vagy közterületről nem látható módon, az épületek alárendelt homlokzatára kell telepíteni;</w:t>
      </w:r>
    </w:p>
    <w:p w14:paraId="7C1FEB94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9. A helyi védelemben részesülő értékekre vonatkozó egyedi építészeti követelmények</w:t>
      </w:r>
    </w:p>
    <w:p w14:paraId="6F9D943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11. §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Az </w:t>
      </w:r>
      <w:hyperlink r:id="rId11" w:anchor="ME1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ben szereplő helyi védelemben részesülő értékekre vonatkozó egyedi építészeti követelmények:</w:t>
      </w:r>
    </w:p>
    <w:p w14:paraId="0B4CAB3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1. közmű szerelvények (villanyóra szekrény, gázmérő) valamint bármilyen, az épület eredeti megjelenését zavaró létesítmény, berendezés csak a közterületről nem látható épületrészen vagy takart kialakítással helyezhető el.</w:t>
      </w:r>
    </w:p>
    <w:p w14:paraId="1751731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2. amennyiben a helyi védelem kiterjed az épület tömegére, az eredeti (hagyományos) tömegében, tetőformájában kell megtartani azt. A tervezett bővítés a régi épület formálásával, szerkezetével, anyaghasználatával összhangban legyen.</w:t>
      </w:r>
    </w:p>
    <w:p w14:paraId="2AB7FFF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3. az eredeti homlokzati elemeket (nyílások, tagozatok, díszek) meg kell őrizni.</w:t>
      </w:r>
    </w:p>
    <w:p w14:paraId="6FE431D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4. belső korszerűsítés és átalakítás – hacsak védelem nem terjed ki az épületbelső, vagy valamely belső részlet hangsúlyozott megtartására – illetve bővítés engedélyezett.</w:t>
      </w:r>
    </w:p>
    <w:p w14:paraId="205940B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5. helyi építészeti karaktert hordozó épület homlokzatai, vagy egyéb épületrészei esetleges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stílusbeli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, arány- vagy ritmushibája felújítás során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korrigáltatható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, ha annak eredményeként egységes építészeti kialakítás jön létre.</w:t>
      </w:r>
    </w:p>
    <w:p w14:paraId="1B14F2D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6. helyi építészeti karaktert hordozó épületek, épületrészek eredeti külső megjelenését:</w:t>
      </w:r>
    </w:p>
    <w:p w14:paraId="0DB40E33" w14:textId="77777777" w:rsidR="00E04DBD" w:rsidRPr="00E04DBD" w:rsidRDefault="00E04DBD" w:rsidP="00E04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egészének és részleteinek külső geometriai formáit, azok rész- és befoglaló méreteit,</w:t>
      </w:r>
    </w:p>
    <w:p w14:paraId="4F917EF0" w14:textId="77777777" w:rsidR="00E04DBD" w:rsidRPr="00E04DBD" w:rsidRDefault="00E04DBD" w:rsidP="00E04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eredeti anyaghatását egészében és részleteiben,</w:t>
      </w:r>
    </w:p>
    <w:p w14:paraId="1BBF90CF" w14:textId="77777777" w:rsidR="00E04DBD" w:rsidRPr="00E04DBD" w:rsidRDefault="00E04DBD" w:rsidP="00E04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ha ismert, eredeti színhatását, ha nem ismert, a feltételezhetően hasonló színhatását,</w:t>
      </w:r>
    </w:p>
    <w:p w14:paraId="1F2323F4" w14:textId="77777777" w:rsidR="00E04DBD" w:rsidRPr="00E04DBD" w:rsidRDefault="00E04DBD" w:rsidP="00E04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d) eredeti épülettartozékait és felszereléseit az értékvizsgálattól függően az e rendeletben foglaltak </w:t>
      </w:r>
      <w:proofErr w:type="gram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figyelembe vételével</w:t>
      </w:r>
      <w:proofErr w:type="gram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kell megőrizni, illetve helyreállítani.</w:t>
      </w:r>
    </w:p>
    <w:p w14:paraId="2226F772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10. Felszíni energiaellátási és elektronikus hírközlési sajátos építmények, műtárgyak elhelyezésére vonatkozó egyedi előírások</w:t>
      </w:r>
    </w:p>
    <w:p w14:paraId="4BEFA5E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12. §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teljes település ellátását biztosító felszíni energiaellátási és elektronikus hírközlési sajátos építmények, műtárgyak elhelyezésére alkalmas területek a </w:t>
      </w:r>
      <w:hyperlink r:id="rId12" w:anchor="ME2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2.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ben nem szereplő területek.</w:t>
      </w:r>
    </w:p>
    <w:p w14:paraId="43BC98C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Átjátszó állomás elhelyezése a </w:t>
      </w:r>
      <w:hyperlink r:id="rId13" w:anchor="ME2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2.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ben meghatározott területeken meglévő adótorony igénybevételével vagy kilátó tetején valósítható meg.</w:t>
      </w:r>
    </w:p>
    <w:p w14:paraId="353E394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Új antenna csak a településképi szempontok érvényesítésével és a környezethez illeszkedően helyezhető el. Az illeszkedést főépítészi véleménnyel kell igazolni.</w:t>
      </w:r>
    </w:p>
    <w:p w14:paraId="2F272B1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Antenna templomtoronyra nem helyezhető el.</w:t>
      </w:r>
    </w:p>
    <w:p w14:paraId="0CADA95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Új antennát 300 m-es körzetben már meglevő antenna tartószerkezet előfordulása esetén, azzal közös tartószerkezetre lehet csak elhelyezni</w:t>
      </w:r>
    </w:p>
    <w:p w14:paraId="7D47269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(6) Önálló távközlési antennatorony, szélerőmű nem helyezhetők el, nem fejleszthető és nem korszerűsíthető belterületen, a tájképvédelmi területen, régészeti lelőhely területen és műemléki környezetben, valamint e területek 50 m-es környezetében.</w:t>
      </w:r>
    </w:p>
    <w:p w14:paraId="2DA0EFA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(7) Nagyfeszültségű elektromos vezeték beépítésre szánt területen légvezetékként nem helyezhető el, nem fejleszthető, nem korszerűsíthető.</w:t>
      </w:r>
    </w:p>
    <w:p w14:paraId="1216064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(8) Belterület újonnan ellátásra kerülő részén elektromos és hírközlési hálózatot földalatti elhelyezéssel kell építeni.</w:t>
      </w:r>
    </w:p>
    <w:p w14:paraId="71FB7EE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(9) A föld feletti vezetésű meglevő gyenge és erősáramú hálózatok esetén, új elektronikus hírközlési hálózatot a meglevő oszlopsorra, illetve közös tartóoszlopra kell fektetni. Közös oszlopsorra való telepítés bármilyen akadályoztatása esetén az építendő hálózatot földalatti elhelyezéssel lehet csak kivitelezni.</w:t>
      </w:r>
    </w:p>
    <w:p w14:paraId="584024B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(10) Külterületen új elektronikus hírközlési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hálózatokat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területgazdálkodási okokból a villamosenergia elosztási, a közvilágítási és egyéb hírközlési szabadvezetékekkel közös, egyoldali oszlopsorra kell fektetni.</w:t>
      </w:r>
    </w:p>
    <w:p w14:paraId="2FCDF86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(11) Gázvezeték, gázmérő, vagy nyomásszabályozó az épületek utcai homlokzatán nem helyezhetők el.</w:t>
      </w:r>
    </w:p>
    <w:p w14:paraId="0BBFFC9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(12) Belterületen, újonnan kialakuló közterületen az elektronikus hírközlési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hálózatokat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földalatti elhelyezéssel kell építeni.</w:t>
      </w:r>
    </w:p>
    <w:p w14:paraId="5F49C68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(13) A már beépített területen, ahol a hálózatok földalatti elhelyezéssel üzemelnek új vezetékes hírközlési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hálózatokat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, meglevő rekonstrukcióját földalatti elhelyezéssel kell építeni.</w:t>
      </w:r>
    </w:p>
    <w:p w14:paraId="2C531B0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(14) A már beépített területeken, ahol a meglevő gyenge és erősáramú hálózatok föld feletti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vezetésűek, új elektronikus hírközlési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hálózatokat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a meglevő oszlopsorra, illetve közös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tartóoszlopra kell fektetni. Közös oszlopsorra való telepítés bármilyen akadályoztatása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esetén az építendő hálózatot földalatti elhelyezéssel lehet csak kivitelezni.</w:t>
      </w:r>
    </w:p>
    <w:p w14:paraId="0B41263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(15) Külterületen új elektronikus hírközlési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hálózatokat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területgazdálkodási okokból a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 xml:space="preserve">villamosenergia elosztási, a közvilágítási és egyéb hírközlési 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szabadvezetékekkel közös,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br/>
        <w:t>egyoldali oszlopsorra kell fektetni.</w:t>
      </w:r>
    </w:p>
    <w:p w14:paraId="5D643F82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11. Az egyes sajátos építmények, műtárgyak elhelyezése</w:t>
      </w:r>
    </w:p>
    <w:p w14:paraId="69E5402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13. §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 szennyvízátemelők, vízmű kutak közterületről látható részeit őshonos örökzöld növényzettel történő eltakarása szükséges.</w:t>
      </w:r>
    </w:p>
    <w:p w14:paraId="1ADB27E2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12. A reklámhordozókra vonatkozó településképi követelmények</w:t>
      </w:r>
    </w:p>
    <w:p w14:paraId="6495CB6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14. §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településkép védelme szempontjából kiemelt területeken lévő közterületen és magánterületen reklámhordozó és reklám – a </w:t>
      </w:r>
      <w:hyperlink r:id="rId14" w:anchor="SZ14.@BE(2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(2)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ben meghatározott kivétellel - nem helyezhető el.</w:t>
      </w:r>
    </w:p>
    <w:p w14:paraId="61A971D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Az </w:t>
      </w:r>
      <w:hyperlink r:id="rId15" w:anchor="SZ14.@BE(1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(1)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alól évente 12 naptári hét időszakra a település szempontjából jelentős eseményről való tájékoztatás érdekében el lehet térni.</w:t>
      </w:r>
    </w:p>
    <w:p w14:paraId="3C80C76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település teljes közigazgatási területén </w:t>
      </w: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építmény homlokzatán, építési telek kerítésén, kerítéskapuján és támfalán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– a </w:t>
      </w:r>
      <w:hyperlink r:id="rId16" w:anchor="SZ14.@BE(4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(4)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és </w:t>
      </w:r>
      <w:hyperlink r:id="rId17" w:anchor="SZ14.@BE(5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(5)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ben foglalt kivétellel – kizárólag az ingatlan rendeltetési egységeiben folytatott kereskedelmi-, szolgáltató-, illetve vendéglátó tevékenységhez közvetlenül kapcsolódó saját vállalkozást népszerűsítő berendezés (cég- és címtábla, cégér és ilyen célú reklám) létesíthető, illetve az építési telken csak hasonló tartalmú önálló hirdető-berendezés helyezhető el a településképre vonatkozó előírások betartásával.</w:t>
      </w:r>
    </w:p>
    <w:p w14:paraId="336F92A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Az </w:t>
      </w:r>
      <w:hyperlink r:id="rId18" w:anchor="SZ14.@BE(3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(3)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szerinti korlátozás nem vonatkozik a közművelődési intézményi épületek, építmények homlokzatán, az ilyen célú ingatlanok kerítésén, kerítéskapuján és támfalán létesített, illetve elhelyezett hirdető-berendezésekre.</w:t>
      </w:r>
    </w:p>
    <w:p w14:paraId="5A59629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(5) Védett épületen, valamint a hozzátartozó telken, a telek kerítésén, kerítéskapuján és támfalán cégér, cég-, címtábla kivételével saját vállalkozást népszerűsítő berendezés nem helyezhető el.</w:t>
      </w:r>
    </w:p>
    <w:p w14:paraId="3227F97F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(6) </w:t>
      </w: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Beépítésre szánt övezetben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önálló reklámberendezés nem helyezhető el.</w:t>
      </w:r>
    </w:p>
    <w:p w14:paraId="429B514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(7) </w:t>
      </w: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Beépítésre nem szánt övezetekben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önálló reklámberendezés mérete 2 m</w:t>
      </w:r>
      <w:r w:rsidRPr="00E04DBD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hu-HU"/>
        </w:rPr>
        <w:t>2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nagyságot, a reklámhordozót tartó berendezések teljes magassága a 6 métert nem haladhatja meg.</w:t>
      </w:r>
    </w:p>
    <w:p w14:paraId="5B8A1052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(8) A saját vállalkozást népszerűsítő berendezések tartó-, illetve hordozó szerkezeteit, felületeit úgy kell kialakítani, hogy azok méretei, arányai és alkalmazott anyagai illeszkedjenek az érintett épület (építmény) építészeti megoldásaihoz, illetve a településképi környezethez.</w:t>
      </w:r>
    </w:p>
    <w:p w14:paraId="5AA0F97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(9) </w:t>
      </w: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Közterületen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reklámhordozó és reklámhordozót tartó berendezés kizárólag a reklámok közzétételével kapcsolatos kormányrendeletben foglaltakkal összhangban helyezhető el.</w:t>
      </w:r>
    </w:p>
    <w:p w14:paraId="6C8F6F12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(10) Utasváró felületének legfeljebb 30 %-án helyezhető el reklámhordozó és reklámhordozót tartó berendezés. A tetőn reklámhordozó és reklámhordozót tartó berendezés nem helyezhető el.</w:t>
      </w:r>
    </w:p>
    <w:p w14:paraId="55A4F6C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(11) A reklámhordozók és reklámhordozót tartó berendezések szerkezeti alapszínének és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típusonkénti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formájának azonosnak kell lennie.</w:t>
      </w:r>
    </w:p>
    <w:p w14:paraId="349B35A3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V. Fejezet</w:t>
      </w:r>
    </w:p>
    <w:p w14:paraId="41657ACB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KÖTELEZŐ SZAKMAI KONZULTÁCIÓ</w:t>
      </w:r>
    </w:p>
    <w:p w14:paraId="6D2489A5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13. Rendelkezés a szakmai konzultációról</w:t>
      </w:r>
    </w:p>
    <w:p w14:paraId="2DC17F3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15. §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Kötelező a szakmai konzultáció az alábbi esetekben az építési tevékenység megkezdését megelőzően:</w:t>
      </w:r>
    </w:p>
    <w:p w14:paraId="733A5FF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cégér, cégtábla,</w:t>
      </w:r>
    </w:p>
    <w:p w14:paraId="21811BD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reklámberendezés, reklám hordozó</w:t>
      </w:r>
    </w:p>
    <w:p w14:paraId="7114EFA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</w:t>
      </w:r>
      <w:hyperlink r:id="rId19" w:anchor="SZ8.@BE(1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8. § (1)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a. pontjában meghatározott falu központi területén és helyi egyedi védelem alatt álló építmény esetében a 312/2012 Kormányrendelet </w:t>
      </w:r>
      <w:hyperlink r:id="rId20" w:anchor="ME1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ének 1-5, 9. és közterületi kerítés építése, átalakítása, felújítása esetén</w:t>
      </w:r>
    </w:p>
    <w:p w14:paraId="4B3B960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az épített környezet alakításáról és védelméről szóló </w:t>
      </w:r>
      <w:hyperlink r:id="rId21" w:anchor="SZ33A" w:tgtFrame="_blank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1997. évi LXXVIII. törvény 33/A.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-ban szabályozott egyszerű bejelentéshez kötött építési tevékenység esetén.</w:t>
      </w:r>
    </w:p>
    <w:p w14:paraId="47F6ED1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szakmai konzultáció iránti kérelmet az e célra rendszeresített űrlapon az önkormányzathoz kell benyújtani. A kérelemnek tartalmaznia kell az építtető vagy kérelmező nevét és címét, telefonos elérhetőségét, valamint a tervezett építési tevékenység helyét, az érintett telek helyrajzi számát, az építési tevékenység rövid leírását.</w:t>
      </w:r>
    </w:p>
    <w:p w14:paraId="66F2A32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Szakmai konzultáció lehetőségéről minden esetben a települési főépítész gondoskodik.</w:t>
      </w:r>
    </w:p>
    <w:p w14:paraId="056A35E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 szakmai konzultáció időpontja a főépítésszel egyeztetve kerül kijelölésre.</w:t>
      </w:r>
    </w:p>
    <w:p w14:paraId="56A1FEB6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VI. Fejezet</w:t>
      </w:r>
    </w:p>
    <w:p w14:paraId="1FB55D44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TELEPÜLÉSKÉPI VÉLEMÉNYEZÉSI ELJÁRÁS</w:t>
      </w:r>
    </w:p>
    <w:p w14:paraId="0BC7C8A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16. §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Településképi véleményezési eljárást kell lefolytatni mindazon építmények építészeti-műszaki terveivel kapcsolatban, melyek</w:t>
      </w:r>
    </w:p>
    <w:p w14:paraId="0A6A7FE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építésügyi hatósági engedélyhez kötött építési munkákra vonatkoznak,</w:t>
      </w:r>
    </w:p>
    <w:p w14:paraId="32BA49D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helyi egyedi védettség alatt állnak.</w:t>
      </w:r>
    </w:p>
    <w:p w14:paraId="2FB087E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képviselő-testület a véleményét a főépítész szakmai álláspontja alapján alakítja ki.</w:t>
      </w:r>
    </w:p>
    <w:p w14:paraId="225AF3A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véleményezési anyagot a </w:t>
      </w:r>
      <w:hyperlink r:id="rId22" w:anchor="ME3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3.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ben foglalt mintának megfelelő tartalommal kell benyújtani.</w:t>
      </w:r>
    </w:p>
    <w:p w14:paraId="1642FB42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Az eljárás során a településképi követelmények teljesülését kell vizsgálni.</w:t>
      </w:r>
    </w:p>
    <w:p w14:paraId="22ADCA6D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VII. Fejezet</w:t>
      </w:r>
    </w:p>
    <w:p w14:paraId="003B7AF6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TELEPÜLÉSKÉPI BEJELENTÉSI ELJÁRÁS</w:t>
      </w:r>
    </w:p>
    <w:p w14:paraId="04E8EE2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17. §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bejelentési eljárással érintett építmények, reklámhordozók köre:</w:t>
      </w:r>
    </w:p>
    <w:p w14:paraId="7705569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lakóterület és településközpont vegyes terület övezetén belül épület közterületről látható homlokzatán előtető, védőtető, ernyőszerkezet építése, meglévő felújítása, helyreállítása, átalakítása, korszerűsítése, bővítése, megváltoztatása;</w:t>
      </w:r>
    </w:p>
    <w:p w14:paraId="22D8A455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b) lakóterület és településközpont vegyes terület övezetén belül meglévő épület utólagos hőszigetelése, a homlokzatfelület színezése, a homlokzat felületképzésének megváltoztatása, tetőhéjalás cseréje, kivéve a homlokzatfelület meglévővel azonos színnel történő 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újrafestése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és a meglévő héjazat visszaépítése;</w:t>
      </w:r>
    </w:p>
    <w:p w14:paraId="6C2515B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c) lakóterület és településközpont vegyes terület övezetén belül meglévő épület homlokzatán, tetőzetén nyílászáró méretének, anyagának, osztásának megváltoztatása; új nyílászáró beépítése;</w:t>
      </w:r>
    </w:p>
    <w:p w14:paraId="65BFCAB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lakóterület és településközpont vegyes terület övezetén belül közterületről látható kerítés építése, meglévő felújítása, helyreállítása, átalakítása, korszerűsítése, bővítése;</w:t>
      </w:r>
    </w:p>
    <w:p w14:paraId="09D11E1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faluközpont területén belül cégér, cégtábla elhelyezése;</w:t>
      </w:r>
    </w:p>
    <w:p w14:paraId="367CD82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f) meglévő, helyi védelem alatt álló épületen nyílászáró cseréje;</w:t>
      </w:r>
    </w:p>
    <w:p w14:paraId="6E7D7B60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g) település területén reklám-berendezés elhelyezése.</w:t>
      </w:r>
    </w:p>
    <w:p w14:paraId="5EF313F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h) A meglévő építmények rendeltetésének részleges, vagy teljes megváltoztatása, illetve a rendeltetési egységek számának megváltoztatása</w:t>
      </w:r>
    </w:p>
    <w:p w14:paraId="2E5137B5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településképi bejelentési eljárás az ügyfélnek a képviselő-testülethez benyújtott, papíralapú bejelentésére indul. A bejelentést a </w:t>
      </w:r>
      <w:hyperlink r:id="rId23" w:anchor="ME4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4. melléklet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ben foglalt mintának megfelelő tartalommal kell benyújtani.</w:t>
      </w:r>
    </w:p>
    <w:p w14:paraId="7CD2D9D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bejelentési dokumentációt a megértéshez szükséges méretarányban, a főbb alaprajzi és magassági méretek feltüntetésével kell készíteni.</w:t>
      </w:r>
    </w:p>
    <w:p w14:paraId="3FFC0B0F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 bejelentési dokumentációban a településképi követelményeknek való megfelelést igazolni kell.</w:t>
      </w:r>
    </w:p>
    <w:p w14:paraId="43412553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Több bejelentés köteles munka esetén a bejelentések összevonhatók.</w:t>
      </w:r>
    </w:p>
    <w:p w14:paraId="3541CA0E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18. §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településképi bejelentési eljárás során a képviselő-testület vizsgálja, hogy a bejelentési dokumentáció formai követelményei teljesülnek-e.</w:t>
      </w:r>
    </w:p>
    <w:p w14:paraId="37F139F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településképi bejelentési eljárás során vizsgálni kell, hogy a bejelentés tárgya</w:t>
      </w:r>
    </w:p>
    <w:p w14:paraId="3C49085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megfelel-e a településképi rendeletben meghatározott követelményeknek;</w:t>
      </w:r>
    </w:p>
    <w:p w14:paraId="58D14B5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megfelelően veszi-e figyelembe a kialakult beépítés adottságait, rendeltetésszerű használatának és fejlesztésének lehetőségeit;</w:t>
      </w:r>
    </w:p>
    <w:p w14:paraId="7043433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alkalmazkodik-e a környezet léptékéhez, formanyelvéhez, tömegalakításához;</w:t>
      </w:r>
    </w:p>
    <w:p w14:paraId="5F77225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az anyaghasználat alkalmazkodik-e a környezet karakteréhez, funkciójához, a környezetben alkalmazott anyagokhoz, illetve látványukhoz;</w:t>
      </w:r>
    </w:p>
    <w:p w14:paraId="786D8A2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a látvány színvilága illeszkedik-e a környezethez, azzal megfelelően harmonizál-e;</w:t>
      </w:r>
    </w:p>
    <w:p w14:paraId="1D5A8BA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f) védett épületen vagy területen a beavatkozás nem ellentétes-e a védelem céljával, szolgálja-e a védelem látványban is jelentkező szempontjait;</w:t>
      </w:r>
    </w:p>
    <w:p w14:paraId="35AC8592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g) a reklámhordozó elhelyezése megfelel-e a reklámok közzétételével kapcsolatos kormányrendeletben szereplő általános elhelyezési, és a településképi rendeletben szereplő különös településképi követelményeknek.</w:t>
      </w:r>
    </w:p>
    <w:p w14:paraId="368D0E3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(3) A településképi bejelentéshez kötött tevékenység a településképi bejelentés tudomásul vételéről szóló határozat birtokában – az abban foglalt esetleges kikötések 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figyelembevételével – megkezdhető, ha ahhoz más hatósági engedély nem szükséges.</w:t>
      </w:r>
    </w:p>
    <w:p w14:paraId="5C66A466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 településképi bejelentési kötelezettség teljesítése, illetve tudomásul vétele polgárjogi igényt nem dönt el, és nem mentesít az egyéb jogszabályok által előírt hatósági engedélyek megszerzése alól.</w:t>
      </w:r>
    </w:p>
    <w:p w14:paraId="68BDD02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A településképi bejelentés tudomásulvételéről szóló határozat a közléstől számított egy évig érvényes.</w:t>
      </w:r>
    </w:p>
    <w:p w14:paraId="54E6F548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VIII. Fejezet</w:t>
      </w:r>
    </w:p>
    <w:p w14:paraId="3B5C9CD4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A TELEPÜLÉSKÉPI KÖTELEZÉS, TELEPÜLÉSKÉPI BÍRSÁG</w:t>
      </w:r>
    </w:p>
    <w:p w14:paraId="6AF94A67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19. §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Településképi kötelezettség megszegésének minősül</w:t>
      </w:r>
    </w:p>
    <w:p w14:paraId="78A84601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a) a szakmai konzultáción megfogalmazott településkép-védelmével kapcsolatos elvárások be nem tartása,</w:t>
      </w:r>
    </w:p>
    <w:p w14:paraId="6A92867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b) a településképi bejelentési eljárás lefolytatása nélkül,</w:t>
      </w:r>
    </w:p>
    <w:p w14:paraId="123DE8B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c) a képviselő-testület tiltása ellenére,</w:t>
      </w:r>
    </w:p>
    <w:p w14:paraId="6C165C25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d) a bejelentési dokumentációban foglaltaktól eltérően, és</w:t>
      </w:r>
    </w:p>
    <w:p w14:paraId="30D9EE34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e) a településképi bejelentés tudomásul vételéről szóló határozatban foglaltaktól eltérően végzett tevékenység.</w:t>
      </w:r>
    </w:p>
    <w:p w14:paraId="339416FC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f) a helyi védelem alatt álló építmény, épület, műtárgy és ezek környezete műszaki, esztétikai állapota nem megfelelő vagy használati módja nem felel meg a helyi építési szabályzat,</w:t>
      </w:r>
    </w:p>
    <w:p w14:paraId="53429012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(2) A településképi kötelezési eljárás hivatalból indul.</w:t>
      </w:r>
    </w:p>
    <w:p w14:paraId="3B9DEA2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(3) Településképi kötelezettség megszegése esetén a polgármester az ingatlan tulajdonosával, önkormányzati 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tulajdon esetén a bérlővel szemben településképi kötelezési eljárást folytat le.</w:t>
      </w:r>
    </w:p>
    <w:p w14:paraId="342D2F1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Amennyiben a földrészlet és a felépítmény tulajdonosa nem azonos, a településképi kötelezési eljárást a felépítmény tulajdonosával szemben kell lefolytatni, kivéve, ha a felépítmény tulajdonosának személye nem állapítható meg.</w:t>
      </w:r>
    </w:p>
    <w:p w14:paraId="44754DEB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A településképi kötelezésről az önkormányzat hatósági döntést hoz településképi kötelezettségről szóló határozat formájában.</w:t>
      </w:r>
    </w:p>
    <w:p w14:paraId="633AF6C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(6) A településképi követelmények településképi kötelezésben megállapított határidőre történő nem teljesítése esetére az ingatlan tulajdonosával szemben 10.000 forinttól 1.000.000 forintig terjedő településkép-védelmi bírság szabható ki.</w:t>
      </w:r>
    </w:p>
    <w:p w14:paraId="681B0CC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(7) A településképi bírság adók módjára behajtandó köztartozásnak minősül, mely Bár község Önkormányzat bevételét képezi.</w:t>
      </w:r>
    </w:p>
    <w:p w14:paraId="70C64D96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IX. Fejezet</w:t>
      </w:r>
    </w:p>
    <w:p w14:paraId="029B7A24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ÖNKORMÁNYZATI TÁMOGATÁSI ÉS ÖSZTÖNZŐ RENDSZER</w:t>
      </w:r>
    </w:p>
    <w:p w14:paraId="21A97A4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20. §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A védett érték tulajdonosának a szokásos karbantartási feladatokon túlmenően, a védettséggel összefüggésben szükségessé váló, a tulajdonost terhelő munkálatok finanszírozásához az önkormányzat vissza nem terítendő támogatást adhat.</w:t>
      </w:r>
    </w:p>
    <w:p w14:paraId="7DC5401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(2) A támogatás mértékét az önkormányzat évente a költségvetési rendeletében határozza meg. Az érintettek a támogatást pályázat útján nyerhetik el. A pályázat tartalmára 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vonatkozó részletes feltételeket a Képviselőtestület a pályázati kiírásban határozza meg.</w:t>
      </w:r>
    </w:p>
    <w:p w14:paraId="1339006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(3) A beérkezett pályázatokat szakmai szempontból a Településfejlesztési és Építészeti Bizottság előzetesen értékeli és javaslatot tesz a Képviselő-testületnek a támogatás odaítélésére. A nyertes pályázatokról a Képviselő-testület dönt.</w:t>
      </w:r>
    </w:p>
    <w:p w14:paraId="0CD18368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(4) A támogatási szerződés megkötésére, módosítására, felmondására, a támogatás elszámolására, visszafizetésére és a támogatási összeg felhasználásának ellenőrzésére az önkormányzat által államháztartáson kívülre nyújtott forrás átadásáról és államháztartáson kívüli forrás átvételéről szóló önkormányzati rendelet szabályait kell alkalmazni.</w:t>
      </w:r>
    </w:p>
    <w:p w14:paraId="5CAAD64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(5) Egyedi helyi védelemmel érintett ingatlan tulajdonosa kérelme alapján a helyi építményadó alóli mentességben részesülhet a helyi adókról szóló </w:t>
      </w:r>
      <w:hyperlink r:id="rId24" w:anchor="SZ13A" w:tgtFrame="_blank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1990. évi C. törvény 13/A.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-</w:t>
      </w:r>
      <w:proofErr w:type="spellStart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ában</w:t>
      </w:r>
      <w:proofErr w:type="spellEnd"/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foglaltak szerint.</w:t>
      </w:r>
    </w:p>
    <w:p w14:paraId="20EBC6D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(6) Nem adható önkormányzati támogatás, ha a védett értékkel összefüggésben engedély nélkül, vagy engedélytől eltérően, illetve szabálytalanul végeztek építési munkákat. Ez esetben a támogatást vissza kell fizetni. E rendelkezés a szabálytalan beavatkozástól számított 5 évig érvényesíthető.</w:t>
      </w:r>
    </w:p>
    <w:p w14:paraId="1038573D" w14:textId="77777777" w:rsidR="00E04DBD" w:rsidRPr="00E04DBD" w:rsidRDefault="00E04DBD" w:rsidP="00E04DB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X. Fejezet</w:t>
      </w:r>
    </w:p>
    <w:p w14:paraId="5C7781EB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lang w:eastAsia="hu-HU"/>
        </w:rPr>
        <w:t>ZÁRÓ ÉS ÁTMENETI RENDELKEZÉSEK</w:t>
      </w:r>
    </w:p>
    <w:p w14:paraId="6FC00E80" w14:textId="77777777" w:rsidR="00E04DBD" w:rsidRPr="00E04DBD" w:rsidRDefault="00E04DBD" w:rsidP="00E04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14. Hatályon kívül helyező rendelkezések</w:t>
      </w:r>
    </w:p>
    <w:p w14:paraId="35F9478D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21. §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(1) Hatályát veszti Bár Község Önkormányzatának a településkép védelméről szóló </w:t>
      </w:r>
      <w:hyperlink r:id="rId25" w:tgtFrame="_blank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13/2017. (XII.11.) önkormányzati rendelet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e.</w:t>
      </w:r>
    </w:p>
    <w:p w14:paraId="373ABA39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lastRenderedPageBreak/>
        <w:t>(2) Hatályát veszti Bár Község Önkormányzatának a község Szabályozási Tervének jóváhagyásáról és Helyi Építési Szabályzatának megállapításáról szóló 3/2005. (IV.01.) számú rendeletének </w:t>
      </w:r>
      <w:hyperlink r:id="rId26" w:anchor="SZ3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3.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(1) (a) és (b) bekezdése, </w:t>
      </w:r>
      <w:hyperlink r:id="rId27" w:anchor="SZ4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4.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(1) (a) és </w:t>
      </w:r>
      <w:hyperlink r:id="rId28" w:anchor="SZ21.@BE(2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(2)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e, </w:t>
      </w:r>
      <w:hyperlink r:id="rId29" w:anchor="SZ8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8.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valamennyi övezeti táblázatában a tetőidomra és hajlásszögre, valamint kerítésre vonatkozó előírás, valamint (7) bekezdés, </w:t>
      </w:r>
      <w:hyperlink r:id="rId30" w:anchor="SZ9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9.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övezeti táblázataiban a tetőidomra és hajlásszögre, valamint kerítésre vonatkozó előírás, </w:t>
      </w:r>
      <w:hyperlink r:id="rId31" w:anchor="SZ10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10.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övezeti táblázataiban a kerítésre vonatkozó előírás, </w:t>
      </w:r>
      <w:hyperlink r:id="rId32" w:anchor="SZ11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11.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 </w:t>
      </w:r>
      <w:hyperlink r:id="rId33" w:anchor="SZ21.@BE(2)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(2) bekezdés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övezeti táblázatában a kerítésre vonatkozó előírás, a </w:t>
      </w:r>
      <w:hyperlink r:id="rId34" w:anchor="SZ12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12.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(3) a) pont övezeti táblázatában az a7 pont, b) pont övezeti táblázatában a b7 pont, (5) bekezdés övezeti táblázatában az utcai kerítésre vonatkozó előírás, </w:t>
      </w:r>
      <w:hyperlink r:id="rId35" w:anchor="SZ18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18.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(3) f) és g) pontok, </w:t>
      </w:r>
      <w:hyperlink r:id="rId36" w:anchor="SZ19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19.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(3) bekezdés e) pont, a </w:t>
      </w:r>
      <w:hyperlink r:id="rId37" w:anchor="SZ20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20.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teljes egészében, </w:t>
      </w:r>
      <w:hyperlink r:id="rId38" w:anchor="SZ21." w:history="1">
        <w:r w:rsidRPr="00E04DBD">
          <w:rPr>
            <w:rFonts w:ascii="Times New Roman" w:eastAsia="Times New Roman" w:hAnsi="Times New Roman" w:cs="Times New Roman"/>
            <w:color w:val="333E55"/>
            <w:sz w:val="36"/>
            <w:szCs w:val="36"/>
            <w:u w:val="single"/>
            <w:lang w:eastAsia="hu-HU"/>
          </w:rPr>
          <w:t>21. §</w:t>
        </w:r>
      </w:hyperlink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. teljes egészében.</w:t>
      </w:r>
    </w:p>
    <w:p w14:paraId="6306F9EA" w14:textId="77777777" w:rsidR="00E04DBD" w:rsidRPr="00E04DBD" w:rsidRDefault="00E04DBD" w:rsidP="00E04DBD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E04DB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22. §</w:t>
      </w:r>
      <w:r w:rsidRPr="00E04DBD">
        <w:rPr>
          <w:rFonts w:ascii="Times New Roman" w:eastAsia="Times New Roman" w:hAnsi="Times New Roman" w:cs="Times New Roman"/>
          <w:sz w:val="36"/>
          <w:szCs w:val="36"/>
          <w:lang w:eastAsia="hu-HU"/>
        </w:rPr>
        <w:t> Ez a rendelet 2021. december 1-jén lép hatályba.</w:t>
      </w:r>
    </w:p>
    <w:p w14:paraId="1DAE84B7" w14:textId="13F302D8" w:rsidR="00E04DBD" w:rsidRPr="00E04DBD" w:rsidRDefault="00E04DBD" w:rsidP="00E04D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E55"/>
          <w:sz w:val="24"/>
          <w:szCs w:val="24"/>
          <w:lang w:eastAsia="hu-HU"/>
        </w:rPr>
      </w:pPr>
    </w:p>
    <w:p w14:paraId="27FBC69A" w14:textId="1DD5D0A0" w:rsidR="00E04DBD" w:rsidRPr="00E04DBD" w:rsidRDefault="00E04DBD" w:rsidP="00E0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color w:val="333E55"/>
          <w:sz w:val="36"/>
          <w:szCs w:val="36"/>
          <w:lang w:eastAsia="hu-HU"/>
        </w:rPr>
        <w:t>1. melléklet</w:t>
      </w:r>
    </w:p>
    <w:p w14:paraId="0359006F" w14:textId="15F70D66" w:rsidR="00E04DBD" w:rsidRPr="00E04DBD" w:rsidRDefault="00E04DBD" w:rsidP="00E0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color w:val="333E55"/>
          <w:sz w:val="36"/>
          <w:szCs w:val="36"/>
          <w:lang w:eastAsia="hu-HU"/>
        </w:rPr>
        <w:t>2. melléklet</w:t>
      </w:r>
    </w:p>
    <w:p w14:paraId="59C13CCE" w14:textId="41C9C484" w:rsidR="00E04DBD" w:rsidRPr="00E04DBD" w:rsidRDefault="00E04DBD" w:rsidP="00E0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color w:val="333E55"/>
          <w:sz w:val="36"/>
          <w:szCs w:val="36"/>
          <w:lang w:eastAsia="hu-HU"/>
        </w:rPr>
        <w:t>3. melléklet</w:t>
      </w: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lang w:eastAsia="hu-HU"/>
        </w:rPr>
        <w:fldChar w:fldCharType="begin"/>
      </w: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lang w:eastAsia="hu-HU"/>
        </w:rPr>
        <w:instrText xml:space="preserve"> HYPERLINK "https://or.njt.hu/download/2098/resources/EJR_12220811-bejelentesi_kerelem_4_mell.pdf" </w:instrText>
      </w: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lang w:eastAsia="hu-HU"/>
        </w:rPr>
        <w:fldChar w:fldCharType="separate"/>
      </w:r>
    </w:p>
    <w:p w14:paraId="654693E2" w14:textId="77777777" w:rsidR="00E04DBD" w:rsidRPr="00E04DBD" w:rsidRDefault="00E04DBD" w:rsidP="00E04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color w:val="333E55"/>
          <w:sz w:val="36"/>
          <w:szCs w:val="36"/>
          <w:lang w:eastAsia="hu-HU"/>
        </w:rPr>
        <w:t>4. melléklet</w:t>
      </w:r>
    </w:p>
    <w:p w14:paraId="100753B0" w14:textId="3A0F6983" w:rsidR="00E04DBD" w:rsidRPr="00E04DBD" w:rsidRDefault="00E04DBD" w:rsidP="00E04DB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lang w:eastAsia="hu-HU"/>
        </w:rPr>
      </w:pPr>
      <w:r w:rsidRPr="00E04DBD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lang w:eastAsia="hu-HU"/>
        </w:rPr>
        <w:fldChar w:fldCharType="end"/>
      </w:r>
    </w:p>
    <w:sectPr w:rsidR="00E04DBD" w:rsidRPr="00E04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BD"/>
    <w:rsid w:val="00E0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3D71"/>
  <w15:chartTrackingRefBased/>
  <w15:docId w15:val="{DA0D108E-F057-44E0-8BB5-51A6430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4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2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03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869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41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752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60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538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518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896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301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772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425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5867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56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576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3862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862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569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426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267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735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695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517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502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6140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856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416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21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84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575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67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0005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5912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67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47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991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335030/r/2021/8" TargetMode="External"/><Relationship Id="rId13" Type="http://schemas.openxmlformats.org/officeDocument/2006/relationships/hyperlink" Target="https://or.njt.hu/eli/v01/335030/r/2021/8" TargetMode="External"/><Relationship Id="rId18" Type="http://schemas.openxmlformats.org/officeDocument/2006/relationships/hyperlink" Target="https://or.njt.hu/eli/v01/335030/r/2021/8" TargetMode="External"/><Relationship Id="rId26" Type="http://schemas.openxmlformats.org/officeDocument/2006/relationships/hyperlink" Target="https://or.njt.hu/eli/v01/335030/r/2021/8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jt.hu/jogszabaly/1997-78-00-00" TargetMode="External"/><Relationship Id="rId34" Type="http://schemas.openxmlformats.org/officeDocument/2006/relationships/hyperlink" Target="https://or.njt.hu/eli/v01/335030/r/2021/8" TargetMode="External"/><Relationship Id="rId7" Type="http://schemas.openxmlformats.org/officeDocument/2006/relationships/hyperlink" Target="https://or.njt.hu/eli/v01/335030/r/2021/8" TargetMode="External"/><Relationship Id="rId12" Type="http://schemas.openxmlformats.org/officeDocument/2006/relationships/hyperlink" Target="https://or.njt.hu/eli/v01/335030/r/2021/8" TargetMode="External"/><Relationship Id="rId17" Type="http://schemas.openxmlformats.org/officeDocument/2006/relationships/hyperlink" Target="https://or.njt.hu/eli/v01/335030/r/2021/8" TargetMode="External"/><Relationship Id="rId25" Type="http://schemas.openxmlformats.org/officeDocument/2006/relationships/hyperlink" Target="https://or.njt.hu/onkormanyzati-rendelet/2017-13-SP-2098" TargetMode="External"/><Relationship Id="rId33" Type="http://schemas.openxmlformats.org/officeDocument/2006/relationships/hyperlink" Target="https://or.njt.hu/eli/v01/335030/r/2021/8" TargetMode="External"/><Relationship Id="rId38" Type="http://schemas.openxmlformats.org/officeDocument/2006/relationships/hyperlink" Target="https://or.njt.hu/eli/v01/335030/r/2021/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v01/335030/r/2021/8" TargetMode="External"/><Relationship Id="rId20" Type="http://schemas.openxmlformats.org/officeDocument/2006/relationships/hyperlink" Target="https://or.njt.hu/eli/v01/335030/r/2021/8" TargetMode="External"/><Relationship Id="rId29" Type="http://schemas.openxmlformats.org/officeDocument/2006/relationships/hyperlink" Target="https://or.njt.hu/eli/v01/335030/r/2021/8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12-314-20-22" TargetMode="External"/><Relationship Id="rId11" Type="http://schemas.openxmlformats.org/officeDocument/2006/relationships/hyperlink" Target="https://or.njt.hu/eli/v01/335030/r/2021/8" TargetMode="External"/><Relationship Id="rId24" Type="http://schemas.openxmlformats.org/officeDocument/2006/relationships/hyperlink" Target="https://njt.hu/jogszabaly/1990-100-00-00" TargetMode="External"/><Relationship Id="rId32" Type="http://schemas.openxmlformats.org/officeDocument/2006/relationships/hyperlink" Target="https://or.njt.hu/eli/v01/335030/r/2021/8" TargetMode="External"/><Relationship Id="rId37" Type="http://schemas.openxmlformats.org/officeDocument/2006/relationships/hyperlink" Target="https://or.njt.hu/eli/v01/335030/r/2021/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or.njt.hu/eli/v01/335030/r/2021/8" TargetMode="External"/><Relationship Id="rId23" Type="http://schemas.openxmlformats.org/officeDocument/2006/relationships/hyperlink" Target="https://or.njt.hu/eli/v01/335030/r/2021/8" TargetMode="External"/><Relationship Id="rId28" Type="http://schemas.openxmlformats.org/officeDocument/2006/relationships/hyperlink" Target="https://or.njt.hu/eli/v01/335030/r/2021/8" TargetMode="External"/><Relationship Id="rId36" Type="http://schemas.openxmlformats.org/officeDocument/2006/relationships/hyperlink" Target="https://or.njt.hu/eli/v01/335030/r/2021/8" TargetMode="External"/><Relationship Id="rId10" Type="http://schemas.openxmlformats.org/officeDocument/2006/relationships/hyperlink" Target="https://or.njt.hu/eli/v01/335030/r/2021/8" TargetMode="External"/><Relationship Id="rId19" Type="http://schemas.openxmlformats.org/officeDocument/2006/relationships/hyperlink" Target="https://or.njt.hu/eli/v01/335030/r/2021/8" TargetMode="External"/><Relationship Id="rId31" Type="http://schemas.openxmlformats.org/officeDocument/2006/relationships/hyperlink" Target="https://or.njt.hu/eli/v01/335030/r/2021/8" TargetMode="External"/><Relationship Id="rId4" Type="http://schemas.openxmlformats.org/officeDocument/2006/relationships/hyperlink" Target="https://njt.hu/jogszabaly/2016-74-00-00" TargetMode="External"/><Relationship Id="rId9" Type="http://schemas.openxmlformats.org/officeDocument/2006/relationships/hyperlink" Target="https://or.njt.hu/eli/v01/335030/r/2021/8" TargetMode="External"/><Relationship Id="rId14" Type="http://schemas.openxmlformats.org/officeDocument/2006/relationships/hyperlink" Target="https://or.njt.hu/eli/v01/335030/r/2021/8" TargetMode="External"/><Relationship Id="rId22" Type="http://schemas.openxmlformats.org/officeDocument/2006/relationships/hyperlink" Target="https://or.njt.hu/eli/v01/335030/r/2021/8" TargetMode="External"/><Relationship Id="rId27" Type="http://schemas.openxmlformats.org/officeDocument/2006/relationships/hyperlink" Target="https://or.njt.hu/eli/v01/335030/r/2021/8" TargetMode="External"/><Relationship Id="rId30" Type="http://schemas.openxmlformats.org/officeDocument/2006/relationships/hyperlink" Target="https://or.njt.hu/eli/v01/335030/r/2021/8" TargetMode="External"/><Relationship Id="rId35" Type="http://schemas.openxmlformats.org/officeDocument/2006/relationships/hyperlink" Target="https://or.njt.hu/eli/v01/335030/r/2021/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3808</Words>
  <Characters>26281</Characters>
  <Application>Microsoft Office Word</Application>
  <DocSecurity>0</DocSecurity>
  <Lines>219</Lines>
  <Paragraphs>60</Paragraphs>
  <ScaleCrop>false</ScaleCrop>
  <Company/>
  <LinksUpToDate>false</LinksUpToDate>
  <CharactersWithSpaces>30029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2023-01-25T09:21:00Z</dcterms:created>
  <dcterms:modified xsi:type="dcterms:W3CDTF">2023-01-25T09:26:00Z</dcterms:modified>
</cp:coreProperties>
</file>